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</w:rPr>
        <w:t>様式１１（単独提案用）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財務状況表</w:t>
      </w:r>
    </w:p>
    <w:p>
      <w:pPr>
        <w:pStyle w:val="0"/>
        <w:ind w:right="840"/>
        <w:rPr>
          <w:rFonts w:hint="default" w:ascii="ＭＳ 明朝" w:hAnsi="ＭＳ 明朝"/>
        </w:rPr>
      </w:pP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708"/>
        <w:gridCol w:w="1985"/>
        <w:gridCol w:w="2126"/>
        <w:gridCol w:w="2126"/>
      </w:tblGrid>
      <w:tr>
        <w:trPr>
          <w:trHeight w:val="888" w:hRule="atLeast"/>
        </w:trPr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法人名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（商号又は名称）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69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項目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単位</w:t>
            </w: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 w:rightChars="2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年度</w:t>
            </w: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 w:rightChars="2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年度</w:t>
            </w: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 w:rightChars="2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年度</w:t>
            </w:r>
          </w:p>
        </w:tc>
      </w:tr>
      <w:tr>
        <w:trPr>
          <w:trHeight w:val="592" w:hRule="atLeas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売上高　①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営業利益　②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53" w:hRule="atLeas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経常利益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当期利益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（税引後）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売上高営業利益率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②／①×</w:t>
            </w:r>
            <w:r>
              <w:rPr>
                <w:rFonts w:hint="eastAsia" w:ascii="ＭＳ 明朝" w:hAnsi="ＭＳ 明朝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1" behindDoc="0" locked="0" layoutInCell="1" hidden="0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0" t="635" r="29210" b="10795"/>
                      <wp:wrapNone/>
                      <wp:docPr id="1026" name="AutoShape 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AutoShape 8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" style="mso-position-vertical-relative:text;z-index:11;mso-wrap-distance-left:9pt;width:29.9pt;height:0pt;mso-position-horizontal-relative:text;position:absolute;margin-left:-2.9pt;margin-top:7.9pt;mso-wrap-distance-bottom:0pt;mso-wrap-distance-right:9pt;mso-wrap-distance-top:0pt;" o:spid="_x0000_s1026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2" behindDoc="0" locked="0" layoutInCell="1" hidden="0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0" t="635" r="29210" b="10795"/>
                      <wp:wrapNone/>
                      <wp:docPr id="1027" name="AutoShape 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AutoShape 9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9" style="mso-position-vertical-relative:text;z-index:12;mso-wrap-distance-left:9pt;width:29.9pt;height:0pt;mso-position-horizontal-relative:text;position:absolute;margin-left:-1.35pt;margin-top:7.85pt;mso-wrap-distance-bottom:0pt;mso-wrap-distance-right:9pt;mso-wrap-distance-top:0pt;" o:spid="_x0000_s1027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3" behindDoc="0" locked="0" layoutInCell="1" hidden="0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0" t="635" r="29210" b="10795"/>
                      <wp:wrapNone/>
                      <wp:docPr id="1028" name="AutoShape 1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AutoShape 10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style="mso-position-vertical-relative:text;z-index:13;mso-wrap-distance-left:9pt;width:29.9pt;height:0pt;mso-position-horizontal-relative:text;position:absolute;margin-left:-1.1399999999999999pt;margin-top:8.5pt;mso-wrap-distance-bottom:0pt;mso-wrap-distance-right:9pt;mso-wrap-distance-top:0pt;" o:spid="_x0000_s1028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流動比率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流動資産／流動負債×</w:t>
            </w:r>
            <w:r>
              <w:rPr>
                <w:rFonts w:hint="eastAsia" w:ascii="ＭＳ 明朝" w:hAnsi="ＭＳ 明朝"/>
                <w:sz w:val="16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4" behindDoc="0" locked="0" layoutInCell="1" hidden="0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0" t="635" r="29210" b="10795"/>
                      <wp:wrapNone/>
                      <wp:docPr id="1029" name="AutoShape 11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9" name="AutoShape 11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1" style="mso-position-vertical-relative:text;z-index:14;mso-wrap-distance-left:9pt;width:29.9pt;height:0pt;mso-position-horizontal-relative:text;position:absolute;margin-left:-2.9pt;margin-top:7.9pt;mso-wrap-distance-bottom:0pt;mso-wrap-distance-right:9pt;mso-wrap-distance-top:0pt;" o:spid="_x0000_s1029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5" behindDoc="0" locked="0" layoutInCell="1" hidden="0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0" t="635" r="29210" b="10795"/>
                      <wp:wrapNone/>
                      <wp:docPr id="1030" name="AutoShape 1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0" name="AutoShape 12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2" style="mso-position-vertical-relative:text;z-index:15;mso-wrap-distance-left:9pt;width:29.9pt;height:0pt;mso-position-horizontal-relative:text;position:absolute;margin-left:-1.35pt;margin-top:7.85pt;mso-wrap-distance-bottom:0pt;mso-wrap-distance-right:9pt;mso-wrap-distance-top:0pt;" o:spid="_x0000_s1030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6" behindDoc="0" locked="0" layoutInCell="1" hidden="0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0" t="635" r="29210" b="10795"/>
                      <wp:wrapNone/>
                      <wp:docPr id="1031" name="AutoShape 1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1" name="AutoShape 13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3" style="mso-position-vertical-relative:text;z-index:16;mso-wrap-distance-left:9pt;width:29.9pt;height:0pt;mso-position-horizontal-relative:text;position:absolute;margin-left:-1.1399999999999999pt;margin-top:8.5pt;mso-wrap-distance-bottom:0pt;mso-wrap-distance-right:9pt;mso-wrap-distance-top:0pt;" o:spid="_x0000_s1031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総資産　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（総資本）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純資産　④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（自己資本）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自己資本比率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④／③×</w:t>
            </w:r>
            <w:r>
              <w:rPr>
                <w:rFonts w:hint="eastAsia" w:ascii="ＭＳ 明朝" w:hAnsi="ＭＳ 明朝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7" behindDoc="0" locked="0" layoutInCell="1" hidden="0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0" t="635" r="29210" b="10795"/>
                      <wp:wrapNone/>
                      <wp:docPr id="1032" name="AutoShape 1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2" name="AutoShape 14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4" style="mso-position-vertical-relative:text;z-index:17;mso-wrap-distance-left:9pt;width:29.9pt;height:0pt;mso-position-horizontal-relative:text;position:absolute;margin-left:-2.9pt;margin-top:7.9pt;mso-wrap-distance-bottom:0pt;mso-wrap-distance-right:9pt;mso-wrap-distance-top:0pt;" o:spid="_x0000_s1032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1" hidden="0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0" t="635" r="29210" b="10795"/>
                      <wp:wrapNone/>
                      <wp:docPr id="1033" name="AutoShape 1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3" name="AutoShape 15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5" style="mso-position-vertical-relative:text;z-index:18;mso-wrap-distance-left:9pt;width:29.9pt;height:0pt;mso-position-horizontal-relative:text;position:absolute;margin-left:-1.35pt;margin-top:7.85pt;mso-wrap-distance-bottom:0pt;mso-wrap-distance-right:9pt;mso-wrap-distance-top:0pt;" o:spid="_x0000_s1033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9" behindDoc="0" locked="0" layoutInCell="1" hidden="0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0" t="635" r="29210" b="10795"/>
                      <wp:wrapNone/>
                      <wp:docPr id="1034" name="AutoShape 1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4" name="AutoShape 16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6" style="mso-position-vertical-relative:text;z-index:19;mso-wrap-distance-left:9pt;width:29.9pt;height:0pt;mso-position-horizontal-relative:text;position:absolute;margin-left:-1.1399999999999999pt;margin-top:8.5pt;mso-wrap-distance-bottom:0pt;mso-wrap-distance-right:9pt;mso-wrap-distance-top:0pt;" o:spid="_x0000_s1034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</w:tr>
    </w:tbl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※１．直近の３年間について記入して下さい。</w:t>
      </w:r>
    </w:p>
    <w:p>
      <w:pPr>
        <w:pStyle w:val="0"/>
        <w:ind w:left="840" w:leftChars="100" w:hanging="63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※２．売上高等の金額については、千円未満を四捨五入した数値で、売上高営業利益率等の割合については、小数第一位未満を四捨五入して記入してください。</w:t>
      </w:r>
    </w:p>
    <w:p>
      <w:pPr>
        <w:pStyle w:val="0"/>
        <w:ind w:left="840" w:leftChars="100" w:hanging="63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※３．公益法人等の場合は、上記に準じた勘定に適宜置き換えてください。</w:t>
      </w:r>
    </w:p>
    <w:p>
      <w:pPr>
        <w:pStyle w:val="0"/>
        <w:ind w:right="840" w:firstLine="210" w:firstLineChars="100"/>
        <w:rPr>
          <w:rFonts w:hint="default" w:ascii="ＭＳ 明朝" w:hAnsi="ＭＳ 明朝"/>
        </w:rPr>
      </w:pPr>
    </w:p>
    <w:p>
      <w:pPr>
        <w:pStyle w:val="0"/>
        <w:widowControl w:val="1"/>
        <w:jc w:val="left"/>
        <w:rPr>
          <w:rFonts w:hint="default" w:ascii="ＭＳ 明朝" w:hAnsi="ＭＳ 明朝"/>
        </w:rPr>
      </w:pPr>
      <w:r>
        <w:rPr>
          <w:rFonts w:hint="default" w:ascii="ＭＳ 明朝" w:hAnsi="ＭＳ 明朝"/>
        </w:rPr>
        <w:br w:type="page"/>
      </w:r>
    </w:p>
    <w:p>
      <w:pPr>
        <w:pStyle w:val="0"/>
        <w:jc w:val="left"/>
        <w:rPr>
          <w:rFonts w:hint="default" w:ascii="ＭＳ 明朝" w:hAnsi="ＭＳ 明朝"/>
          <w:b w:val="1"/>
          <w:sz w:val="22"/>
        </w:rPr>
      </w:pPr>
      <w:r>
        <w:rPr>
          <w:rFonts w:hint="eastAsia" w:ascii="ＭＳ 明朝" w:hAnsi="ＭＳ 明朝"/>
        </w:rPr>
        <w:t>様式１１（</w:t>
      </w:r>
      <w:r>
        <w:rPr>
          <w:rFonts w:hint="eastAsia"/>
          <w:kern w:val="0"/>
        </w:rPr>
        <w:t>グループ</w:t>
      </w:r>
      <w:r>
        <w:rPr>
          <w:rFonts w:hint="eastAsia" w:ascii="ＭＳ 明朝" w:hAnsi="ＭＳ 明朝"/>
        </w:rPr>
        <w:t>提案用）</w:t>
      </w:r>
    </w:p>
    <w:p>
      <w:pPr>
        <w:pStyle w:val="0"/>
        <w:jc w:val="center"/>
        <w:rPr>
          <w:rFonts w:hint="default" w:ascii="ＭＳ 明朝" w:hAnsi="ＭＳ 明朝"/>
          <w:sz w:val="28"/>
        </w:rPr>
      </w:pPr>
      <w:r>
        <w:rPr>
          <w:rFonts w:hint="eastAsia" w:ascii="ＭＳ 明朝" w:hAnsi="ＭＳ 明朝"/>
          <w:sz w:val="28"/>
        </w:rPr>
        <w:t>財務状況表</w:t>
      </w:r>
    </w:p>
    <w:p>
      <w:pPr>
        <w:pStyle w:val="0"/>
        <w:ind w:right="840"/>
        <w:rPr>
          <w:rFonts w:hint="default" w:ascii="ＭＳ 明朝" w:hAnsi="ＭＳ 明朝"/>
        </w:rPr>
      </w:pPr>
    </w:p>
    <w:tbl>
      <w:tblPr>
        <w:tblStyle w:val="11"/>
        <w:tblW w:w="9072" w:type="dxa"/>
        <w:tblInd w:w="10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Look w:firstRow="1" w:lastRow="0" w:firstColumn="1" w:lastColumn="0" w:noHBand="0" w:noVBand="1" w:val="04A0"/>
      </w:tblPr>
      <w:tblGrid>
        <w:gridCol w:w="2127"/>
        <w:gridCol w:w="708"/>
        <w:gridCol w:w="1985"/>
        <w:gridCol w:w="2126"/>
        <w:gridCol w:w="2126"/>
      </w:tblGrid>
      <w:tr>
        <w:trPr>
          <w:trHeight w:val="733" w:hRule="atLeast"/>
        </w:trPr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/>
                <w:kern w:val="0"/>
              </w:rPr>
              <w:t>グループ</w:t>
            </w:r>
            <w:r>
              <w:rPr>
                <w:rFonts w:hint="eastAsia" w:asciiTheme="minorEastAsia" w:hAnsiTheme="minorEastAsia"/>
                <w:kern w:val="0"/>
              </w:rPr>
              <w:t>名称</w:t>
            </w:r>
            <w:bookmarkStart w:id="0" w:name="_GoBack"/>
            <w:bookmarkEnd w:id="0"/>
          </w:p>
        </w:tc>
        <w:tc>
          <w:tcPr>
            <w:tcW w:w="623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888" w:hRule="atLeast"/>
        </w:trPr>
        <w:tc>
          <w:tcPr>
            <w:tcW w:w="2835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法人名</w:t>
            </w:r>
          </w:p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（商号又は名称）</w:t>
            </w:r>
          </w:p>
        </w:tc>
        <w:tc>
          <w:tcPr>
            <w:tcW w:w="6237" w:type="dxa"/>
            <w:gridSpan w:val="3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</w:p>
        </w:tc>
      </w:tr>
      <w:tr>
        <w:trPr>
          <w:trHeight w:val="469" w:hRule="atLeast"/>
        </w:trPr>
        <w:tc>
          <w:tcPr>
            <w:tcW w:w="212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項目</w:t>
            </w:r>
          </w:p>
        </w:tc>
        <w:tc>
          <w:tcPr>
            <w:tcW w:w="708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単位</w:t>
            </w:r>
          </w:p>
        </w:tc>
        <w:tc>
          <w:tcPr>
            <w:tcW w:w="1985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 w:rightChars="2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年度</w:t>
            </w: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 w:rightChars="2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年度</w:t>
            </w:r>
          </w:p>
        </w:tc>
        <w:tc>
          <w:tcPr>
            <w:tcW w:w="2126" w:type="dxa"/>
            <w:tcBorders>
              <w:top w:val="none" w:color="auto" w:sz="0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ind w:right="420" w:rightChars="200"/>
              <w:jc w:val="right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年度</w:t>
            </w:r>
          </w:p>
        </w:tc>
      </w:tr>
      <w:tr>
        <w:trPr>
          <w:trHeight w:val="592" w:hRule="atLeas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売上高　①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6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  <w:sz w:val="16"/>
              </w:rPr>
            </w:pPr>
          </w:p>
        </w:tc>
      </w:tr>
      <w:tr>
        <w:trPr>
          <w:trHeight w:val="558" w:hRule="atLeas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営業利益　②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553" w:hRule="atLeas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経常利益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jc w:val="left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当期利益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（税引後）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売上高営業利益率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②／①×</w:t>
            </w:r>
            <w:r>
              <w:rPr>
                <w:rFonts w:hint="eastAsia" w:ascii="ＭＳ 明朝" w:hAnsi="ＭＳ 明朝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2" behindDoc="0" locked="0" layoutInCell="1" hidden="0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0" t="635" r="29210" b="10795"/>
                      <wp:wrapNone/>
                      <wp:docPr id="1035" name="AutoShape 2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5" name="AutoShape 2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" style="mso-position-vertical-relative:text;z-index:2;mso-wrap-distance-left:9pt;width:29.9pt;height:0pt;mso-position-horizontal-relative:text;position:absolute;margin-left:-2.9pt;margin-top:7.9pt;mso-wrap-distance-bottom:0pt;mso-wrap-distance-right:9pt;mso-wrap-distance-top:0pt;" o:spid="_x0000_s1035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3" behindDoc="0" locked="0" layoutInCell="1" hidden="0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0" t="635" r="29210" b="10795"/>
                      <wp:wrapNone/>
                      <wp:docPr id="1036" name="AutoShape 3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6" name="AutoShape 3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3" style="mso-position-vertical-relative:text;z-index:3;mso-wrap-distance-left:9pt;width:29.9pt;height:0pt;mso-position-horizontal-relative:text;position:absolute;margin-left:-1.35pt;margin-top:7.85pt;mso-wrap-distance-bottom:0pt;mso-wrap-distance-right:9pt;mso-wrap-distance-top:0pt;" o:spid="_x0000_s1036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4" behindDoc="0" locked="0" layoutInCell="1" hidden="0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0" t="635" r="29210" b="10795"/>
                      <wp:wrapNone/>
                      <wp:docPr id="1037" name="AutoShape 4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7" name="AutoShape 4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4" style="mso-position-vertical-relative:text;z-index:4;mso-wrap-distance-left:9pt;width:29.9pt;height:0pt;mso-position-horizontal-relative:text;position:absolute;margin-left:-1.1399999999999999pt;margin-top:8.5pt;mso-wrap-distance-bottom:0pt;mso-wrap-distance-right:9pt;mso-wrap-distance-top:0pt;" o:spid="_x0000_s1037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流動比率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  <w:sz w:val="16"/>
              </w:rPr>
              <w:t>流動資産／流動負債×</w:t>
            </w:r>
            <w:r>
              <w:rPr>
                <w:rFonts w:hint="eastAsia" w:ascii="ＭＳ 明朝" w:hAnsi="ＭＳ 明朝"/>
                <w:sz w:val="16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5" behindDoc="0" locked="0" layoutInCell="1" hidden="0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0" t="635" r="29210" b="10795"/>
                      <wp:wrapNone/>
                      <wp:docPr id="1038" name="AutoShape 5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8" name="AutoShape 5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5" style="mso-position-vertical-relative:text;z-index:5;mso-wrap-distance-left:9pt;width:29.9pt;height:0pt;mso-position-horizontal-relative:text;position:absolute;margin-left:-2.9pt;margin-top:7.9pt;mso-wrap-distance-bottom:0pt;mso-wrap-distance-right:9pt;mso-wrap-distance-top:0pt;" o:spid="_x0000_s1038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6" behindDoc="0" locked="0" layoutInCell="1" hidden="0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0" t="635" r="29210" b="10795"/>
                      <wp:wrapNone/>
                      <wp:docPr id="1039" name="AutoShape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39" name="AutoShape 6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style="mso-position-vertical-relative:text;z-index:6;mso-wrap-distance-left:9pt;width:29.9pt;height:0pt;mso-position-horizontal-relative:text;position:absolute;margin-left:-1.35pt;margin-top:7.85pt;mso-wrap-distance-bottom:0pt;mso-wrap-distance-right:9pt;mso-wrap-distance-top:0pt;" o:spid="_x0000_s1039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7" behindDoc="0" locked="0" layoutInCell="1" hidden="0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0" t="635" r="29210" b="10795"/>
                      <wp:wrapNone/>
                      <wp:docPr id="1040" name="AutoShape 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0" name="AutoShape 7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7" style="mso-position-vertical-relative:text;z-index:7;mso-wrap-distance-left:9pt;width:29.9pt;height:0pt;mso-position-horizontal-relative:text;position:absolute;margin-left:-1.1399999999999999pt;margin-top:8.5pt;mso-wrap-distance-bottom:0pt;mso-wrap-distance-right:9pt;mso-wrap-distance-top:0pt;" o:spid="_x0000_s1040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総資産　③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（総資本）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純資産　④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（自己資本）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千円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明朝" w:hAnsi="ＭＳ 明朝"/>
              </w:rPr>
            </w:pPr>
          </w:p>
        </w:tc>
      </w:tr>
      <w:tr>
        <w:trPr>
          <w:trHeight w:val="851" w:hRule="exact"/>
        </w:trPr>
        <w:tc>
          <w:tcPr>
            <w:tcW w:w="2127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自己資本比率</w:t>
            </w:r>
          </w:p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④／③×</w:t>
            </w:r>
            <w:r>
              <w:rPr>
                <w:rFonts w:hint="eastAsia" w:ascii="ＭＳ 明朝" w:hAnsi="ＭＳ 明朝"/>
              </w:rPr>
              <w:t>100</w:t>
            </w:r>
          </w:p>
        </w:tc>
        <w:tc>
          <w:tcPr>
            <w:tcW w:w="708" w:type="dxa"/>
            <w:tcBorders>
              <w:top w:val="single" w:color="auto" w:sz="4" w:space="0"/>
              <w:left w:val="none" w:color="auto" w:sz="0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 w:ascii="ＭＳ 明朝" w:hAnsi="ＭＳ 明朝"/>
              </w:rPr>
            </w:pPr>
            <w:r>
              <w:rPr>
                <w:rFonts w:hint="eastAsia" w:ascii="ＭＳ 明朝" w:hAnsi="ＭＳ 明朝"/>
              </w:rPr>
              <w:t>％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8" behindDoc="0" locked="0" layoutInCell="1" hidden="0" allowOverlap="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100330</wp:posOffset>
                      </wp:positionV>
                      <wp:extent cx="379730" cy="0"/>
                      <wp:effectExtent l="0" t="635" r="29210" b="10795"/>
                      <wp:wrapNone/>
                      <wp:docPr id="1041" name="AutoShape 17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1" name="AutoShape 17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7" style="mso-position-vertical-relative:text;z-index:8;mso-wrap-distance-left:9pt;width:29.9pt;height:0pt;mso-position-horizontal-relative:text;position:absolute;margin-left:-2.9pt;margin-top:7.9pt;mso-wrap-distance-bottom:0pt;mso-wrap-distance-right:9pt;mso-wrap-distance-top:0pt;" o:spid="_x0000_s1041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9" behindDoc="0" locked="0" layoutInCell="1" hidden="0" allowOverlap="1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99695</wp:posOffset>
                      </wp:positionV>
                      <wp:extent cx="379730" cy="0"/>
                      <wp:effectExtent l="0" t="635" r="29210" b="10795"/>
                      <wp:wrapNone/>
                      <wp:docPr id="1042" name="AutoShape 18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2" name="AutoShape 18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8" style="mso-position-vertical-relative:text;z-index:9;mso-wrap-distance-left:9pt;width:29.9pt;height:0pt;mso-position-horizontal-relative:text;position:absolute;margin-left:-1.35pt;margin-top:7.85pt;mso-wrap-distance-bottom:0pt;mso-wrap-distance-right:9pt;mso-wrap-distance-top:0pt;" o:spid="_x0000_s1042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  <w:tc>
          <w:tcPr>
            <w:tcW w:w="2126" w:type="dxa"/>
            <w:tcBorders>
              <w:top w:val="single" w:color="auto" w:sz="4" w:space="0"/>
              <w:left w:val="single" w:color="auto" w:sz="4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ind w:firstLine="630" w:firstLineChars="300"/>
              <w:rPr>
                <w:rFonts w:hint="default" w:ascii="ＭＳ 明朝" w:hAnsi="ＭＳ 明朝"/>
              </w:rPr>
            </w:pPr>
            <w:r>
              <w:rPr>
                <w:rFonts w:hint="default" w:ascii="ＭＳ 明朝" w:hAnsi="ＭＳ 明朝"/>
              </w:rPr>
              <mc:AlternateContent>
                <mc:Choice Requires="wps">
                  <w:drawing>
                    <wp:anchor distT="0" distB="0" distL="114300" distR="114300" simplePos="0" relativeHeight="10" behindDoc="0" locked="0" layoutInCell="1" hidden="0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107950</wp:posOffset>
                      </wp:positionV>
                      <wp:extent cx="379730" cy="0"/>
                      <wp:effectExtent l="0" t="635" r="29210" b="10795"/>
                      <wp:wrapNone/>
                      <wp:docPr id="1043" name="AutoShape 19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43" name="AutoShape 19"/>
                            <wps:cNvCnPr/>
                            <wps:spPr>
                              <a:xfrm>
                                <a:off x="0" y="0"/>
                                <a:ext cx="37973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9" style="mso-position-vertical-relative:text;z-index:10;mso-wrap-distance-left:9pt;width:29.9pt;height:0pt;mso-position-horizontal-relative:text;position:absolute;margin-left:-1.1399999999999999pt;margin-top:8.5pt;mso-wrap-distance-bottom:0pt;mso-wrap-distance-right:9pt;mso-wrap-distance-top:0pt;" o:spid="_x0000_s1043" o:allowincell="t" o:allowoverlap="t" filled="f" stroked="t" strokecolor="#000000" strokeweight="0.75pt" o:spt="32" type="#_x0000_t32">
                      <v:fill/>
                      <v:stroke filltype="solid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/>
              </w:rPr>
              <w:t>×</w:t>
            </w:r>
            <w:r>
              <w:rPr>
                <w:rFonts w:hint="eastAsia" w:ascii="ＭＳ 明朝" w:hAnsi="ＭＳ 明朝"/>
              </w:rPr>
              <w:t>100</w:t>
            </w:r>
            <w:r>
              <w:rPr>
                <w:rFonts w:hint="eastAsia" w:ascii="ＭＳ 明朝" w:hAnsi="ＭＳ 明朝"/>
              </w:rPr>
              <w:t>＝</w:t>
            </w:r>
          </w:p>
        </w:tc>
      </w:tr>
    </w:tbl>
    <w:p>
      <w:pPr>
        <w:pStyle w:val="0"/>
        <w:ind w:firstLine="210" w:firstLineChars="1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※１．直近の３年間について記入して下さい。</w:t>
      </w:r>
    </w:p>
    <w:p>
      <w:pPr>
        <w:pStyle w:val="0"/>
        <w:ind w:left="840" w:leftChars="100" w:hanging="63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※２．売上高等の金額については、千円未満を四捨五入した数値で、売上高営業利益率等の割合については、小数第一位未満を四捨五入して記入してください。</w:t>
      </w:r>
    </w:p>
    <w:p>
      <w:pPr>
        <w:pStyle w:val="0"/>
        <w:ind w:left="840" w:leftChars="100" w:hanging="630" w:hangingChars="300"/>
        <w:jc w:val="left"/>
        <w:rPr>
          <w:rFonts w:hint="default" w:ascii="ＭＳ 明朝" w:hAnsi="ＭＳ 明朝"/>
        </w:rPr>
      </w:pPr>
      <w:r>
        <w:rPr>
          <w:rFonts w:hint="eastAsia" w:ascii="ＭＳ 明朝" w:hAnsi="ＭＳ 明朝"/>
        </w:rPr>
        <w:t>※３．公益法人等の場合は、上記に準じた勘定に適宜置き換えてください。</w:t>
      </w:r>
    </w:p>
    <w:p>
      <w:pPr>
        <w:pStyle w:val="0"/>
        <w:ind w:left="840" w:leftChars="100" w:hanging="630" w:hangingChars="30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p>
      <w:pPr>
        <w:pStyle w:val="0"/>
        <w:jc w:val="left"/>
        <w:rPr>
          <w:rFonts w:hint="default" w:ascii="ＭＳ 明朝" w:hAnsi="ＭＳ 明朝"/>
        </w:rPr>
      </w:pPr>
    </w:p>
    <w:sectPr>
      <w:footerReference r:id="rId5" w:type="default"/>
      <w:pgSz w:w="11906" w:h="16838"/>
      <w:pgMar w:top="1418" w:right="1418" w:bottom="1077" w:left="1418" w:header="851" w:footer="567" w:gutter="0"/>
      <w:pgNumType w:fmt="numberInDash"/>
      <w:cols w:space="720"/>
      <w:textDirection w:val="lrTb"/>
      <w:docGrid w:type="lines" w:linePitch="34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jc w:val="center"/>
      <w:rPr>
        <w:rFonts w:hint="default"/>
      </w:rPr>
    </w:pPr>
  </w:p>
  <w:p>
    <w:pPr>
      <w:pStyle w:val="19"/>
      <w:rPr>
        <w:rFonts w:hint="default"/>
      </w:rPr>
    </w:pPr>
  </w:p>
</w:ft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90"/>
  <w:removeDateAndTime/>
  <w:bordersDoNotSurroundHeader/>
  <w:bordersDoNotSurroundFooter/>
  <w:defaultTabStop w:val="840"/>
  <w:drawingGridHorizontalSpacing w:val="105"/>
  <w:drawingGridVerticalSpacing w:val="171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>
      <o:rules v:ext="edit">
        <o:r id="V:Rule2" type="connector" idref="#_x0000_s1043">
          <o:proxy start="" idref="#_x0000_s0" connectloc="-1"/>
          <o:proxy end="" idref="#_x0000_s0" connectloc="-1"/>
        </o:r>
        <o:r id="V:Rule4" type="connector" idref="#_x0000_s1026">
          <o:proxy start="" idref="#_x0000_s0" connectloc="-1"/>
          <o:proxy end="" idref="#_x0000_s0" connectloc="-1"/>
        </o:r>
        <o:r id="V:Rule6" type="connector" idref="#_x0000_s1040">
          <o:proxy start="" idref="#_x0000_s0" connectloc="-1"/>
          <o:proxy end="" idref="#_x0000_s0" connectloc="-1"/>
        </o:r>
        <o:r id="V:Rule8" type="connector" idref="#_x0000_s1037">
          <o:proxy start="" idref="#_x0000_s0" connectloc="-1"/>
          <o:proxy end="" idref="#_x0000_s0" connectloc="-1"/>
        </o:r>
        <o:r id="V:Rule10" type="connector" idref="#_x0000_s1034">
          <o:proxy start="" idref="#_x0000_s0" connectloc="-1"/>
          <o:proxy end="" idref="#_x0000_s0" connectloc="-1"/>
        </o:r>
        <o:r id="V:Rule12" type="connector" idref="#_x0000_s1031">
          <o:proxy start="" idref="#_x0000_s0" connectloc="-1"/>
          <o:proxy end="" idref="#_x0000_s0" connectloc="-1"/>
        </o:r>
        <o:r id="V:Rule14" type="connector" idref="#_x0000_s1028">
          <o:proxy start="" idref="#_x0000_s0" connectloc="-1"/>
          <o:proxy end="" idref="#_x0000_s0" connectloc="-1"/>
        </o:r>
        <o:r id="V:Rule16" type="connector" idref="#_x0000_s1042">
          <o:proxy start="" idref="#_x0000_s0" connectloc="-1"/>
          <o:proxy end="" idref="#_x0000_s0" connectloc="-1"/>
        </o:r>
        <o:r id="V:Rule18" type="connector" idref="#_x0000_s1039">
          <o:proxy start="" idref="#_x0000_s0" connectloc="-1"/>
          <o:proxy end="" idref="#_x0000_s0" connectloc="-1"/>
        </o:r>
        <o:r id="V:Rule20" type="connector" idref="#_x0000_s1036">
          <o:proxy start="" idref="#_x0000_s0" connectloc="-1"/>
          <o:proxy end="" idref="#_x0000_s0" connectloc="-1"/>
        </o:r>
        <o:r id="V:Rule22" type="connector" idref="#_x0000_s1033">
          <o:proxy start="" idref="#_x0000_s0" connectloc="-1"/>
          <o:proxy end="" idref="#_x0000_s0" connectloc="-1"/>
        </o:r>
        <o:r id="V:Rule24" type="connector" idref="#_x0000_s1030">
          <o:proxy start="" idref="#_x0000_s0" connectloc="-1"/>
          <o:proxy end="" idref="#_x0000_s0" connectloc="-1"/>
        </o:r>
        <o:r id="V:Rule26" type="connector" idref="#_x0000_s1027">
          <o:proxy start="" idref="#_x0000_s0" connectloc="-1"/>
          <o:proxy end="" idref="#_x0000_s0" connectloc="-1"/>
        </o:r>
        <o:r id="V:Rule28" type="connector" idref="#_x0000_s1041">
          <o:proxy start="" idref="#_x0000_s0" connectloc="-1"/>
          <o:proxy end="" idref="#_x0000_s0" connectloc="-1"/>
        </o:r>
        <o:r id="V:Rule30" type="connector" idref="#_x0000_s1038">
          <o:proxy start="" idref="#_x0000_s0" connectloc="-1"/>
          <o:proxy end="" idref="#_x0000_s0" connectloc="-1"/>
        </o:r>
        <o:r id="V:Rule32" type="connector" idref="#_x0000_s1035">
          <o:proxy start="" idref="#_x0000_s0" connectloc="-1"/>
          <o:proxy end="" idref="#_x0000_s0" connectloc="-1"/>
        </o:r>
        <o:r id="V:Rule34" type="connector" idref="#_x0000_s1032">
          <o:proxy start="" idref="#_x0000_s0" connectloc="-1"/>
          <o:proxy end="" idref="#_x0000_s0" connectloc="-1"/>
        </o:r>
        <o:r id="V:Rule36" type="connector" idref="#_x0000_s1029">
          <o:proxy start="" idref="#_x0000_s0" connectloc="-1"/>
          <o:proxy end="" idref="#_x0000_s0" connectloc="-1"/>
        </o:r>
      </o:rules>
    </o:shapelayout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List Paragraph"/>
    <w:basedOn w:val="0"/>
    <w:next w:val="15"/>
    <w:link w:val="0"/>
    <w:uiPriority w:val="0"/>
    <w:qFormat/>
    <w:pPr>
      <w:ind w:left="840" w:leftChars="400"/>
    </w:pPr>
  </w:style>
  <w:style w:type="character" w:styleId="16">
    <w:name w:val="Hyperlink"/>
    <w:basedOn w:val="10"/>
    <w:next w:val="16"/>
    <w:link w:val="0"/>
    <w:uiPriority w:val="0"/>
    <w:rPr>
      <w:color w:val="003F84"/>
      <w:u w:val="single" w:color="auto"/>
    </w:rPr>
  </w:style>
  <w:style w:type="paragraph" w:styleId="17">
    <w:name w:val="head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ヘッダー (文字)"/>
    <w:basedOn w:val="10"/>
    <w:next w:val="18"/>
    <w:link w:val="17"/>
    <w:uiPriority w:val="0"/>
  </w:style>
  <w:style w:type="paragraph" w:styleId="19">
    <w:name w:val="foot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フッター (文字)"/>
    <w:basedOn w:val="10"/>
    <w:next w:val="20"/>
    <w:link w:val="19"/>
    <w:uiPriority w:val="0"/>
  </w:style>
  <w:style w:type="paragraph" w:styleId="21">
    <w:name w:val="Balloon Text"/>
    <w:basedOn w:val="0"/>
    <w:next w:val="21"/>
    <w:link w:val="22"/>
    <w:uiPriority w:val="0"/>
    <w:semiHidden/>
    <w:rPr>
      <w:rFonts w:asciiTheme="majorHAnsi" w:hAnsiTheme="majorHAnsi" w:eastAsiaTheme="majorEastAsia"/>
      <w:sz w:val="18"/>
    </w:rPr>
  </w:style>
  <w:style w:type="character" w:styleId="22" w:customStyle="1">
    <w:name w:val="吹き出し (文字)"/>
    <w:basedOn w:val="10"/>
    <w:next w:val="22"/>
    <w:link w:val="21"/>
    <w:uiPriority w:val="0"/>
    <w:rPr>
      <w:rFonts w:asciiTheme="majorHAnsi" w:hAnsiTheme="majorHAnsi" w:eastAsiaTheme="majorEastAsia"/>
      <w:sz w:val="18"/>
    </w:rPr>
  </w:style>
  <w:style w:type="paragraph" w:styleId="23" w:customStyle="1">
    <w:name w:val="Default"/>
    <w:next w:val="23"/>
    <w:link w:val="0"/>
    <w:uiPriority w:val="0"/>
    <w:pPr>
      <w:widowControl w:val="0"/>
      <w:autoSpaceDE w:val="0"/>
      <w:autoSpaceDN w:val="0"/>
      <w:adjustRightInd w:val="0"/>
    </w:pPr>
    <w:rPr>
      <w:rFonts w:ascii="HG丸ｺﾞｼｯｸM-PRO" w:hAnsi="HG丸ｺﾞｼｯｸM-PRO" w:eastAsia="HG丸ｺﾞｼｯｸM-PRO"/>
      <w:color w:val="000000"/>
      <w:kern w:val="0"/>
      <w:sz w:val="24"/>
    </w:rPr>
  </w:style>
  <w:style w:type="paragraph" w:styleId="24" w:customStyle="1">
    <w:name w:val="一太郎"/>
    <w:next w:val="24"/>
    <w:link w:val="0"/>
    <w:uiPriority w:val="0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eastAsia="ＭＳ 明朝"/>
      <w:spacing w:val="-1"/>
      <w:kern w:val="0"/>
    </w:rPr>
  </w:style>
  <w:style w:type="paragraph" w:styleId="25">
    <w:name w:val="Note Heading"/>
    <w:basedOn w:val="0"/>
    <w:next w:val="0"/>
    <w:link w:val="26"/>
    <w:uiPriority w:val="0"/>
    <w:pPr>
      <w:jc w:val="center"/>
    </w:pPr>
    <w:rPr>
      <w:rFonts w:asciiTheme="minorEastAsia" w:hAnsiTheme="minorEastAsia"/>
    </w:rPr>
  </w:style>
  <w:style w:type="character" w:styleId="26" w:customStyle="1">
    <w:name w:val="記 (文字)"/>
    <w:basedOn w:val="10"/>
    <w:next w:val="26"/>
    <w:link w:val="25"/>
    <w:uiPriority w:val="0"/>
    <w:rPr>
      <w:rFonts w:asciiTheme="minorEastAsia" w:hAnsiTheme="minorEastAsia"/>
    </w:rPr>
  </w:style>
  <w:style w:type="paragraph" w:styleId="27" w:customStyle="1">
    <w:name w:val="様式番号"/>
    <w:basedOn w:val="0"/>
    <w:next w:val="0"/>
    <w:link w:val="0"/>
    <w:uiPriority w:val="0"/>
    <w:pPr>
      <w:autoSpaceDN w:val="0"/>
    </w:pPr>
    <w:rPr>
      <w:rFonts w:ascii="ＭＳ ゴシック" w:hAnsi="ＭＳ ゴシック" w:eastAsia="ＭＳ ゴシック"/>
      <w:sz w:val="24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  <w:pPr>
      <w:jc w:val="left"/>
    </w:pPr>
  </w:style>
  <w:style w:type="character" w:styleId="30" w:customStyle="1">
    <w:name w:val="コメント文字列 (文字)"/>
    <w:basedOn w:val="10"/>
    <w:next w:val="30"/>
    <w:link w:val="29"/>
    <w:uiPriority w:val="0"/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コメント内容 (文字)"/>
    <w:basedOn w:val="30"/>
    <w:next w:val="32"/>
    <w:link w:val="31"/>
    <w:uiPriority w:val="0"/>
    <w:rPr>
      <w:b w:val="1"/>
    </w:rPr>
  </w:style>
  <w:style w:type="paragraph" w:styleId="33" w:customStyle="1">
    <w:name w:val="一太郎８/９"/>
    <w:next w:val="33"/>
    <w:link w:val="0"/>
    <w:uiPriority w:val="0"/>
    <w:pPr>
      <w:widowControl w:val="0"/>
      <w:wordWrap w:val="0"/>
      <w:autoSpaceDE w:val="0"/>
      <w:autoSpaceDN w:val="0"/>
      <w:adjustRightInd w:val="0"/>
      <w:spacing w:line="290" w:lineRule="atLeast"/>
      <w:jc w:val="both"/>
    </w:pPr>
    <w:rPr>
      <w:rFonts w:ascii="ＭＳ 明朝" w:hAnsi="ＭＳ 明朝" w:eastAsia="ＭＳ 明朝"/>
      <w:spacing w:val="-1"/>
      <w:kern w:val="0"/>
    </w:rPr>
  </w:style>
  <w:style w:type="paragraph" w:styleId="34">
    <w:name w:val="caption"/>
    <w:basedOn w:val="0"/>
    <w:next w:val="0"/>
    <w:link w:val="0"/>
    <w:uiPriority w:val="0"/>
    <w:semiHidden/>
    <w:qFormat/>
    <w:pPr>
      <w:widowControl w:val="1"/>
      <w:spacing w:line="240" w:lineRule="exact"/>
    </w:pPr>
    <w:rPr>
      <w:rFonts w:ascii="Century" w:hAnsi="Century" w:eastAsia="ＭＳ 明朝"/>
      <w:b w:val="1"/>
      <w:color w:val="000000" w:themeColor="text1"/>
    </w:rPr>
  </w:style>
  <w:style w:type="character" w:styleId="35" w:customStyle="1">
    <w:name w:val="未解決のメンション1"/>
    <w:basedOn w:val="10"/>
    <w:next w:val="35"/>
    <w:link w:val="0"/>
    <w:uiPriority w:val="0"/>
    <w:rPr>
      <w:color w:val="605E5C"/>
      <w:shd w:val="clear" w:color="auto" w:fill="E1DFDD"/>
    </w:rPr>
  </w:style>
  <w:style w:type="character" w:styleId="36">
    <w:name w:val="footnote reference"/>
    <w:basedOn w:val="10"/>
    <w:next w:val="36"/>
    <w:link w:val="0"/>
    <w:uiPriority w:val="0"/>
    <w:semiHidden/>
    <w:rPr>
      <w:vertAlign w:val="superscript"/>
    </w:rPr>
  </w:style>
  <w:style w:type="character" w:styleId="37">
    <w:name w:val="endnote reference"/>
    <w:basedOn w:val="10"/>
    <w:next w:val="37"/>
    <w:link w:val="0"/>
    <w:uiPriority w:val="0"/>
    <w:semiHidden/>
    <w:rPr>
      <w:vertAlign w:val="superscript"/>
    </w:rPr>
  </w:style>
  <w:style w:type="table" w:styleId="38">
    <w:name w:val="Table Grid"/>
    <w:basedOn w:val="11"/>
    <w:next w:val="38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9" w:customStyle="1">
    <w:name w:val="表 (格子)1"/>
    <w:basedOn w:val="11"/>
    <w:next w:val="3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footer" Target="foot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164</TotalTime>
  <Pages>2</Pages>
  <Words>122</Words>
  <Characters>697</Characters>
  <Application>JUST Note</Application>
  <Lines>5</Lines>
  <Paragraphs>1</Paragraphs>
  <CharactersWithSpaces>818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平野 達郎</cp:lastModifiedBy>
  <dcterms:created xsi:type="dcterms:W3CDTF">2025-07-03T07:33:00Z</dcterms:created>
  <dcterms:modified xsi:type="dcterms:W3CDTF">2025-10-28T02:13:22Z</dcterms:modified>
  <cp:revision>9</cp:revision>
</cp:coreProperties>
</file>